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02" w:rsidRPr="00126B02" w:rsidRDefault="00126B02" w:rsidP="00126B0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076325" cy="1143000"/>
            <wp:effectExtent l="19050" t="0" r="9525" b="0"/>
            <wp:docPr id="1" name="Рисунок 1" descr="http://text.gosthelp.ru/images/text/2790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.gosthelp.ru/images/text/2790.files/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>ГОСУДАРСТВЕННЫЙ СТАНДАРТ СОЮЗА ССР</w:t>
      </w:r>
    </w:p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>ПРОКАТ СТАЛЬНОЙ ГОРЯЧЕКАТАНЫЙ КВАДРАТНЫЙ</w:t>
      </w:r>
    </w:p>
    <w:p w:rsidR="00126B02" w:rsidRPr="00126B02" w:rsidRDefault="00126B02" w:rsidP="00126B0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СОРТАМЕНТ</w:t>
      </w:r>
    </w:p>
    <w:p w:rsidR="00126B02" w:rsidRPr="00126B02" w:rsidRDefault="00126B02" w:rsidP="00126B0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ГОСТ 2591-88</w:t>
      </w:r>
    </w:p>
    <w:p w:rsidR="00126B02" w:rsidRPr="00126B02" w:rsidRDefault="00126B02" w:rsidP="00126B0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(</w:t>
      </w:r>
      <w:proofErr w:type="gramStart"/>
      <w:r w:rsidRPr="00126B0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</w:t>
      </w:r>
      <w:proofErr w:type="gramEnd"/>
      <w:r w:rsidRPr="00126B0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СЭВ 3899-82)</w:t>
      </w:r>
    </w:p>
    <w:p w:rsidR="00126B02" w:rsidRPr="00126B02" w:rsidRDefault="00126B02" w:rsidP="00126B0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ГОСУДАРСТВЕННЫЙ КОМИТЕТ СССР ПО СТАНДАРТАМ</w:t>
      </w:r>
    </w:p>
    <w:p w:rsidR="00126B02" w:rsidRPr="00126B02" w:rsidRDefault="00126B02" w:rsidP="00126B0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Москва</w:t>
      </w:r>
    </w:p>
    <w:p w:rsidR="00126B02" w:rsidRPr="00126B02" w:rsidRDefault="00126B02" w:rsidP="00126B0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ГОСУДАРСТВЕННЫЙ СТАНДАРТ СОЮЗА ССР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3"/>
        <w:gridCol w:w="2110"/>
      </w:tblGrid>
      <w:tr w:rsidR="00126B02" w:rsidRPr="00126B02" w:rsidTr="00126B02">
        <w:trPr>
          <w:tblCellSpacing w:w="7" w:type="dxa"/>
        </w:trPr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ПРОКАТ СТАЛЬНОЙ ГОРЯЧЕКАТАНЫЙ КВАДРАТНЫЙ</w:t>
            </w:r>
          </w:p>
          <w:p w:rsidR="00126B02" w:rsidRPr="00126B02" w:rsidRDefault="00126B02" w:rsidP="00126B0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ru-RU"/>
              </w:rPr>
              <w:t xml:space="preserve">Сортамент </w:t>
            </w:r>
          </w:p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Square</w:t>
            </w:r>
            <w:proofErr w:type="spellEnd"/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Hot-rolled</w:t>
            </w:r>
            <w:proofErr w:type="spellEnd"/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Steel</w:t>
            </w:r>
            <w:proofErr w:type="spellEnd"/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Bars</w:t>
            </w:r>
            <w:proofErr w:type="spellEnd"/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Dimensions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ГОСТ </w:t>
            </w:r>
            <w:r w:rsidRPr="00126B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2591-88</w:t>
            </w:r>
          </w:p>
        </w:tc>
      </w:tr>
    </w:tbl>
    <w:p w:rsidR="00126B02" w:rsidRPr="00126B02" w:rsidRDefault="00126B02" w:rsidP="00126B0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Срок действия </w:t>
      </w:r>
      <w:r w:rsidRPr="00126B02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с 01.01.90</w:t>
      </w:r>
    </w:p>
    <w:p w:rsidR="00126B02" w:rsidRPr="00126B02" w:rsidRDefault="00126B02" w:rsidP="00126B0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до 01.01.95</w:t>
      </w:r>
      <w:r w:rsidRPr="00126B0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>1. Настоящий стандарт распространяется на стальной горячекатаный прокат квадратного сечения с размером сторон от 6 до 200 мм включительно. Прокат размером более 200 мм изготовляют по согласованию изготовителя с потребителем.</w:t>
      </w:r>
    </w:p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>2. По точности прокат изготовляют:</w:t>
      </w:r>
    </w:p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26B02">
        <w:rPr>
          <w:rFonts w:ascii="Arial" w:eastAsia="Times New Roman" w:hAnsi="Arial" w:cs="Arial"/>
          <w:sz w:val="20"/>
          <w:szCs w:val="20"/>
          <w:lang w:eastAsia="ru-RU"/>
        </w:rPr>
        <w:t>Б</w:t>
      </w:r>
      <w:proofErr w:type="gramEnd"/>
      <w:r w:rsidRPr="00126B02">
        <w:rPr>
          <w:rFonts w:ascii="Arial" w:eastAsia="Times New Roman" w:hAnsi="Arial" w:cs="Arial"/>
          <w:sz w:val="20"/>
          <w:szCs w:val="20"/>
          <w:lang w:eastAsia="ru-RU"/>
        </w:rPr>
        <w:t xml:space="preserve"> - повышенной точности;</w:t>
      </w:r>
    </w:p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>В - обычной точности.</w:t>
      </w:r>
    </w:p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>3. Стороны квадратного проката, предельные отклонения по ним, площадь поперечного сечения и масса 1 м проката должны соответствовать указанным на чертеже и в табл. 1.</w:t>
      </w:r>
    </w:p>
    <w:p w:rsidR="00126B02" w:rsidRPr="00126B02" w:rsidRDefault="00126B02" w:rsidP="00126B0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209675" cy="1476375"/>
            <wp:effectExtent l="19050" t="0" r="9525" b="0"/>
            <wp:docPr id="2" name="Рисунок 2" descr="http://text.gosthelp.ru/images/text/2790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.gosthelp.ru/images/text/2790.files/image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B02" w:rsidRPr="00126B02" w:rsidRDefault="00126B02" w:rsidP="00126B0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>Таблица 1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2"/>
        <w:gridCol w:w="1886"/>
        <w:gridCol w:w="1886"/>
        <w:gridCol w:w="1886"/>
        <w:gridCol w:w="1893"/>
      </w:tblGrid>
      <w:tr w:rsidR="00126B02" w:rsidRPr="00126B02" w:rsidTr="00126B02">
        <w:trPr>
          <w:tblHeader/>
          <w:tblCellSpacing w:w="7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Сторона квадрата </w:t>
            </w:r>
            <w:r w:rsidRPr="00126B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</w:t>
            </w: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Предельные отклонения, </w:t>
            </w:r>
            <w:proofErr w:type="gramStart"/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proofErr w:type="gramEnd"/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при точности прокатки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поперечного сечения, см</w:t>
            </w:r>
            <w:proofErr w:type="gramStart"/>
            <w:r w:rsidRPr="00126B0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1 м профиля, кг</w:t>
            </w:r>
          </w:p>
        </w:tc>
      </w:tr>
      <w:tr w:rsidR="00126B02" w:rsidRPr="00126B02" w:rsidTr="00126B02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повышенной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обычной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+0,1</w:t>
            </w:r>
          </w:p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+0,3</w:t>
            </w:r>
          </w:p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0,283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0,385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0,502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0,636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0,785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1,13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1,33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1,54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1,77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2,01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2,27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2,54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2,82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+0,2</w:t>
            </w:r>
          </w:p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+0,4</w:t>
            </w:r>
          </w:p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3,14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3,46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3,80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4,15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4,52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4,91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+0,2</w:t>
            </w:r>
          </w:p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+0,3</w:t>
            </w:r>
          </w:p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6,76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5,30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7,29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5,72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6,15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8,41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6,60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7,06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+0,4</w:t>
            </w:r>
          </w:p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8,04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11,56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9,07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12,25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9,62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12,96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10,17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14,14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11,24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12,56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17,64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13,85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+0,2</w:t>
            </w:r>
          </w:p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+0,4</w:t>
            </w:r>
          </w:p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20,25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15,90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16,61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18,09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19,62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21,23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30,25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23,75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26,40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+0,3</w:t>
            </w:r>
          </w:p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-1,1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+0,5</w:t>
            </w:r>
          </w:p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-1,1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28,26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39,69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31,16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42,25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33,17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38,46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44,16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+0,3</w:t>
            </w:r>
          </w:p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-1,3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+0,5</w:t>
            </w:r>
          </w:p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-1,3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50,24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72,25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56,72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63,58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86,49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67,90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90,25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70,85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+0,4</w:t>
            </w:r>
          </w:p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-1,7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+0,6</w:t>
            </w:r>
          </w:p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-1,7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78,50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110,25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86,57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94,98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132,25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103,82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+0,6</w:t>
            </w:r>
          </w:p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-2,0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+0,8</w:t>
            </w:r>
          </w:p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-2,0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144,00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113,04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156,25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122,66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169,00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132,67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182,25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143,07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153,86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210,25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165,05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176,63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+0,9</w:t>
            </w:r>
          </w:p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-2,5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200,96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227,00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254,00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283,00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314,00</w:t>
            </w:r>
          </w:p>
        </w:tc>
      </w:tr>
    </w:tbl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>Примечания:</w:t>
      </w:r>
    </w:p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>1. Площадь поперечного сечения и масса 1 м длины профилей вычислены по номинальным размерам. При вычислении массы 1 м проката плотность стали принята равной 7,85 г/см</w:t>
      </w:r>
      <w:r w:rsidRPr="00126B02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126B02">
        <w:rPr>
          <w:rFonts w:ascii="Arial" w:eastAsia="Times New Roman" w:hAnsi="Arial" w:cs="Arial"/>
          <w:sz w:val="20"/>
          <w:szCs w:val="20"/>
          <w:lang w:eastAsia="ru-RU"/>
        </w:rPr>
        <w:t>. Масса 1 м проката является справочной величиной.</w:t>
      </w:r>
    </w:p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>2. По требованию потребителя допускается изготовление проката промежуточных размеров с предельными отклонениями по ближайшему меньшему размеру.</w:t>
      </w:r>
    </w:p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>4. По требованию потребителя прокат квадратного сечения изготовляют с плюсовыми отклонениями, указанными в табл. 2.</w:t>
      </w:r>
    </w:p>
    <w:p w:rsidR="00126B02" w:rsidRPr="00126B02" w:rsidRDefault="00126B02" w:rsidP="00126B0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>Таблица 2</w:t>
      </w:r>
    </w:p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>мм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4722"/>
      </w:tblGrid>
      <w:tr w:rsidR="00126B02" w:rsidRPr="00126B02" w:rsidTr="00126B02">
        <w:trPr>
          <w:tblHeader/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Сторона квадрата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Предельные отклонения, не более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6 до 9 </w:t>
            </w:r>
            <w:proofErr w:type="spellStart"/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</w:t>
            </w:r>
            <w:proofErr w:type="spellEnd"/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+0,5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Св. 9» 19 »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+0,6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19 » 25 »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+0,8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25 » 30 »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+0,9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30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Суммы предельных отклонений для проката обычной точности прокатки в соответствии с табл. 1 </w:t>
            </w:r>
          </w:p>
        </w:tc>
      </w:tr>
    </w:tbl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>5. По требованию потребителя прокат изготовляют в соответствии с табл. 3.</w:t>
      </w:r>
    </w:p>
    <w:p w:rsidR="00126B02" w:rsidRPr="00126B02" w:rsidRDefault="00126B02" w:rsidP="00126B0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>Таблица 3</w:t>
      </w:r>
    </w:p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>мм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5"/>
        <w:gridCol w:w="2357"/>
        <w:gridCol w:w="2357"/>
        <w:gridCol w:w="2364"/>
      </w:tblGrid>
      <w:tr w:rsidR="00126B02" w:rsidRPr="00126B02" w:rsidTr="00126B02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Сторона проката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Диагональ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Сторона проката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Диагональ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 ± 0,8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 ± 1,1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 ± 1,4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 ± 2,0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± 1,0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 ± 1,1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 ± 1,7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 ± 2,4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± 1,0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 ± 1,1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 ± 2,0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± 3,0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± 1,4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 ± 2,0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 ± 2,5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 ± 3,5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 ± 1,4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 ± 2,0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± 5,0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 ± 7,0</w:t>
            </w:r>
          </w:p>
        </w:tc>
      </w:tr>
    </w:tbl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>6. Разность диагоналей в одном сечении не должна превышать удвоенной суммы предельных отклонений по стороне квадрата до 20 мм включительно, свыше 20 мм - суммы предельных отклонений по стороне квадрата.</w:t>
      </w:r>
    </w:p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>По согласованию изготовителя с потребителем разность диагоналей не должна превышать 70 % суммы предельных отклонений по стороне квадрата высокой точности прокатки до 35 мм включительно, обычной точности - до 60 мм включительно.</w:t>
      </w:r>
    </w:p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>7. Прокат изготовляют в прутках. По согласованию изготовителя с потребителем прокат со стороной квадрата до 14 мм включительно изготовляют в мотках.</w:t>
      </w:r>
    </w:p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>8. В соответствии с заказом прутки изготовляют:</w:t>
      </w:r>
    </w:p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>мерной длины;</w:t>
      </w:r>
    </w:p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>кратной мерной длины;</w:t>
      </w:r>
    </w:p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>немерной длины.</w:t>
      </w:r>
    </w:p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>9. Прокат изготовляют длиной:</w:t>
      </w:r>
    </w:p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>от 2 до 12 м - из углеродистой обыкновенного качества и низколегированной стали;</w:t>
      </w:r>
    </w:p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>от 2 до 6 м - из качественной углеродистой и легированной стали;</w:t>
      </w:r>
    </w:p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>от 1,5 до 6 м - из высоколегированной стали.</w:t>
      </w:r>
    </w:p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>10. Предельные отклонения по длине проката мерной длины или кратной мерной длины не должны превышать:</w:t>
      </w:r>
    </w:p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 xml:space="preserve">+30 мм - при длине до 4 м </w:t>
      </w:r>
      <w:proofErr w:type="spellStart"/>
      <w:r w:rsidRPr="00126B02">
        <w:rPr>
          <w:rFonts w:ascii="Arial" w:eastAsia="Times New Roman" w:hAnsi="Arial" w:cs="Arial"/>
          <w:sz w:val="20"/>
          <w:szCs w:val="20"/>
          <w:lang w:eastAsia="ru-RU"/>
        </w:rPr>
        <w:t>включ</w:t>
      </w:r>
      <w:proofErr w:type="spellEnd"/>
      <w:r w:rsidRPr="00126B02">
        <w:rPr>
          <w:rFonts w:ascii="Arial" w:eastAsia="Times New Roman" w:hAnsi="Arial" w:cs="Arial"/>
          <w:sz w:val="20"/>
          <w:szCs w:val="20"/>
          <w:lang w:eastAsia="ru-RU"/>
        </w:rPr>
        <w:t>.;</w:t>
      </w:r>
    </w:p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 xml:space="preserve">+50 мм - при длине св. 4 до 6 м </w:t>
      </w:r>
      <w:proofErr w:type="spellStart"/>
      <w:r w:rsidRPr="00126B02">
        <w:rPr>
          <w:rFonts w:ascii="Arial" w:eastAsia="Times New Roman" w:hAnsi="Arial" w:cs="Arial"/>
          <w:sz w:val="20"/>
          <w:szCs w:val="20"/>
          <w:lang w:eastAsia="ru-RU"/>
        </w:rPr>
        <w:t>включ</w:t>
      </w:r>
      <w:proofErr w:type="spellEnd"/>
      <w:r w:rsidRPr="00126B02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+70 мм - при длине свыше 6 м.</w:t>
      </w:r>
    </w:p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>По требованию потребителя предельные отклонения не должны превышать:</w:t>
      </w:r>
    </w:p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>+40 мм - для проката длиной св. 4 до 7 м;</w:t>
      </w:r>
    </w:p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>+5 мм на каждый метр длины - свыше 7 м.</w:t>
      </w:r>
    </w:p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>11. Притупление углов квадратного проката не должно превышать значений, указанных в табл. 4.</w:t>
      </w:r>
    </w:p>
    <w:p w:rsidR="00126B02" w:rsidRPr="00126B02" w:rsidRDefault="00126B02" w:rsidP="00126B0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>Таблица 4</w:t>
      </w:r>
    </w:p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>мм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4722"/>
      </w:tblGrid>
      <w:tr w:rsidR="00126B02" w:rsidRPr="00126B02" w:rsidTr="00126B02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Сторона квадрата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Притупление углов, не более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 12 </w:t>
            </w:r>
            <w:proofErr w:type="spellStart"/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</w:t>
            </w:r>
            <w:proofErr w:type="spellEnd"/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Св. 12 до 20 </w:t>
            </w:r>
            <w:proofErr w:type="spellStart"/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</w:t>
            </w:r>
            <w:proofErr w:type="spellEnd"/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20 » 30 »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30 » 50 »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50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0,15 стороны квадрата</w:t>
            </w:r>
          </w:p>
        </w:tc>
      </w:tr>
    </w:tbl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>По требованию потребителя притупление углов квадратного проката со стороной свыше 50 до 100 мм не должно превышать 3 мм, свыше 100 до 150 мм - 4 мм.</w:t>
      </w:r>
    </w:p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>Для проката со стороной квадрата до 50 мм из легированных и высоколегированных марок стали притупление углов не должно превышать 0,15 стороны квадрата.</w:t>
      </w:r>
    </w:p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>12. Кривизна прутков квадратного проката не должна превышать значений, указанных в табл. 5.</w:t>
      </w:r>
    </w:p>
    <w:p w:rsidR="00126B02" w:rsidRPr="00126B02" w:rsidRDefault="00126B02" w:rsidP="00126B0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>Таблица 4</w:t>
      </w:r>
    </w:p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>мм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  <w:gridCol w:w="3143"/>
        <w:gridCol w:w="3150"/>
      </w:tblGrid>
      <w:tr w:rsidR="00126B02" w:rsidRPr="00126B02" w:rsidTr="00126B02">
        <w:trPr>
          <w:tblCellSpacing w:w="7" w:type="dxa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Сторона квадрата</w:t>
            </w:r>
          </w:p>
        </w:tc>
        <w:tc>
          <w:tcPr>
            <w:tcW w:w="3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Кривизна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 класс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 класс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 25 </w:t>
            </w:r>
            <w:proofErr w:type="spellStart"/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</w:t>
            </w:r>
            <w:proofErr w:type="spellEnd"/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0,5 % длины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126B02" w:rsidRPr="00126B02" w:rsidTr="00126B02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Св. 25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0,4 % длины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6B02" w:rsidRPr="00126B02" w:rsidRDefault="00126B02" w:rsidP="0012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B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0,5 % длины</w:t>
            </w:r>
          </w:p>
        </w:tc>
      </w:tr>
    </w:tbl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>13. По требованию потребителя кривизна прутков квадратного проката не должна превышать 0,2 % длины.</w:t>
      </w:r>
    </w:p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>14. Кривизну проката измеряют на длине не менее 1 м на расстоянии не менее 150 мм от концов.</w:t>
      </w:r>
    </w:p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>15. Скручивание квадратного проката не должно превышать произведения 4 град/</w:t>
      </w:r>
      <w:proofErr w:type="gramStart"/>
      <w:r w:rsidRPr="00126B02">
        <w:rPr>
          <w:rFonts w:ascii="Arial" w:eastAsia="Times New Roman" w:hAnsi="Arial" w:cs="Arial"/>
          <w:sz w:val="20"/>
          <w:szCs w:val="20"/>
          <w:lang w:eastAsia="ru-RU"/>
        </w:rPr>
        <w:t>м</w:t>
      </w:r>
      <w:proofErr w:type="gramEnd"/>
      <w:r w:rsidRPr="00126B02">
        <w:rPr>
          <w:rFonts w:ascii="Arial" w:eastAsia="Times New Roman" w:hAnsi="Arial" w:cs="Arial"/>
          <w:sz w:val="20"/>
          <w:szCs w:val="20"/>
          <w:lang w:eastAsia="ru-RU"/>
        </w:rPr>
        <w:t xml:space="preserve"> на длину профиля в метрах, но не более 24 град при стороне до 14 мм; свыше 14 мм до 50 мм включительно - 3 град/м на длину профиля в метрах, но не более 18 град, свыше 50 мм - 3 град/м на длину профиля в метрах, но не более 15 град.</w:t>
      </w:r>
    </w:p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>16. Стороны и разность диагоналей, притупление углов измеряют на расстоянии не менее 150 мм от конца прутка и не менее 1,5 м от конца мотка при массе до 250 кг и на расстоянии не менее 3,0 м при массе мотка свыше 250 кг.</w:t>
      </w:r>
    </w:p>
    <w:p w:rsidR="00126B02" w:rsidRPr="00126B02" w:rsidRDefault="00126B02" w:rsidP="00126B0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ИНФОРМАЦИОННЫЕ ДАННЫЕ</w:t>
      </w:r>
    </w:p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>1. РАЗРАБОТАН И ВНЕСЕН Государственным комитетом СССР по стандартам</w:t>
      </w:r>
    </w:p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>ИСПОЛНИТЕЛИ</w:t>
      </w:r>
    </w:p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 xml:space="preserve">К.Ф. </w:t>
      </w:r>
      <w:proofErr w:type="spellStart"/>
      <w:r w:rsidRPr="00126B02">
        <w:rPr>
          <w:rFonts w:ascii="Arial" w:eastAsia="Times New Roman" w:hAnsi="Arial" w:cs="Arial"/>
          <w:sz w:val="20"/>
          <w:szCs w:val="20"/>
          <w:lang w:eastAsia="ru-RU"/>
        </w:rPr>
        <w:t>Перетятько</w:t>
      </w:r>
      <w:proofErr w:type="spellEnd"/>
      <w:r w:rsidRPr="00126B02">
        <w:rPr>
          <w:rFonts w:ascii="Arial" w:eastAsia="Times New Roman" w:hAnsi="Arial" w:cs="Arial"/>
          <w:sz w:val="20"/>
          <w:szCs w:val="20"/>
          <w:lang w:eastAsia="ru-RU"/>
        </w:rPr>
        <w:t xml:space="preserve">, Г.И. </w:t>
      </w:r>
      <w:proofErr w:type="spellStart"/>
      <w:r w:rsidRPr="00126B02">
        <w:rPr>
          <w:rFonts w:ascii="Arial" w:eastAsia="Times New Roman" w:hAnsi="Arial" w:cs="Arial"/>
          <w:sz w:val="20"/>
          <w:szCs w:val="20"/>
          <w:lang w:eastAsia="ru-RU"/>
        </w:rPr>
        <w:t>Снимщикова</w:t>
      </w:r>
      <w:proofErr w:type="spellEnd"/>
      <w:r w:rsidRPr="00126B02">
        <w:rPr>
          <w:rFonts w:ascii="Arial" w:eastAsia="Times New Roman" w:hAnsi="Arial" w:cs="Arial"/>
          <w:sz w:val="20"/>
          <w:szCs w:val="20"/>
          <w:lang w:eastAsia="ru-RU"/>
        </w:rPr>
        <w:t xml:space="preserve"> (руководители темы); С.И. </w:t>
      </w:r>
      <w:proofErr w:type="spellStart"/>
      <w:r w:rsidRPr="00126B02">
        <w:rPr>
          <w:rFonts w:ascii="Arial" w:eastAsia="Times New Roman" w:hAnsi="Arial" w:cs="Arial"/>
          <w:sz w:val="20"/>
          <w:szCs w:val="20"/>
          <w:lang w:eastAsia="ru-RU"/>
        </w:rPr>
        <w:t>Рудюк</w:t>
      </w:r>
      <w:proofErr w:type="spellEnd"/>
      <w:proofErr w:type="gramStart"/>
      <w:r w:rsidRPr="00126B02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Pr="00126B02">
        <w:rPr>
          <w:rFonts w:ascii="Arial" w:eastAsia="Times New Roman" w:hAnsi="Arial" w:cs="Arial"/>
          <w:sz w:val="20"/>
          <w:szCs w:val="20"/>
          <w:lang w:eastAsia="ru-RU"/>
        </w:rPr>
        <w:t xml:space="preserve"> канд. </w:t>
      </w:r>
      <w:proofErr w:type="spellStart"/>
      <w:r w:rsidRPr="00126B02">
        <w:rPr>
          <w:rFonts w:ascii="Arial" w:eastAsia="Times New Roman" w:hAnsi="Arial" w:cs="Arial"/>
          <w:sz w:val="20"/>
          <w:szCs w:val="20"/>
          <w:lang w:eastAsia="ru-RU"/>
        </w:rPr>
        <w:t>техн</w:t>
      </w:r>
      <w:proofErr w:type="spellEnd"/>
      <w:r w:rsidRPr="00126B02">
        <w:rPr>
          <w:rFonts w:ascii="Arial" w:eastAsia="Times New Roman" w:hAnsi="Arial" w:cs="Arial"/>
          <w:sz w:val="20"/>
          <w:szCs w:val="20"/>
          <w:lang w:eastAsia="ru-RU"/>
        </w:rPr>
        <w:t xml:space="preserve">. наук; В.Ф. Коваленко , канд. </w:t>
      </w:r>
      <w:proofErr w:type="spellStart"/>
      <w:r w:rsidRPr="00126B02">
        <w:rPr>
          <w:rFonts w:ascii="Arial" w:eastAsia="Times New Roman" w:hAnsi="Arial" w:cs="Arial"/>
          <w:sz w:val="20"/>
          <w:szCs w:val="20"/>
          <w:lang w:eastAsia="ru-RU"/>
        </w:rPr>
        <w:t>техн</w:t>
      </w:r>
      <w:proofErr w:type="spellEnd"/>
      <w:r w:rsidRPr="00126B02">
        <w:rPr>
          <w:rFonts w:ascii="Arial" w:eastAsia="Times New Roman" w:hAnsi="Arial" w:cs="Arial"/>
          <w:sz w:val="20"/>
          <w:szCs w:val="20"/>
          <w:lang w:eastAsia="ru-RU"/>
        </w:rPr>
        <w:t xml:space="preserve">. наук; Х.М. Сапрыгин , канд. </w:t>
      </w:r>
      <w:proofErr w:type="spellStart"/>
      <w:r w:rsidRPr="00126B02">
        <w:rPr>
          <w:rFonts w:ascii="Arial" w:eastAsia="Times New Roman" w:hAnsi="Arial" w:cs="Arial"/>
          <w:sz w:val="20"/>
          <w:szCs w:val="20"/>
          <w:lang w:eastAsia="ru-RU"/>
        </w:rPr>
        <w:t>техн</w:t>
      </w:r>
      <w:proofErr w:type="spellEnd"/>
      <w:r w:rsidRPr="00126B02">
        <w:rPr>
          <w:rFonts w:ascii="Arial" w:eastAsia="Times New Roman" w:hAnsi="Arial" w:cs="Arial"/>
          <w:sz w:val="20"/>
          <w:szCs w:val="20"/>
          <w:lang w:eastAsia="ru-RU"/>
        </w:rPr>
        <w:t xml:space="preserve">. наук; В.А. Ена , канд. </w:t>
      </w:r>
      <w:proofErr w:type="spellStart"/>
      <w:r w:rsidRPr="00126B02">
        <w:rPr>
          <w:rFonts w:ascii="Arial" w:eastAsia="Times New Roman" w:hAnsi="Arial" w:cs="Arial"/>
          <w:sz w:val="20"/>
          <w:szCs w:val="20"/>
          <w:lang w:eastAsia="ru-RU"/>
        </w:rPr>
        <w:t>техн</w:t>
      </w:r>
      <w:proofErr w:type="spellEnd"/>
      <w:r w:rsidRPr="00126B02">
        <w:rPr>
          <w:rFonts w:ascii="Arial" w:eastAsia="Times New Roman" w:hAnsi="Arial" w:cs="Arial"/>
          <w:sz w:val="20"/>
          <w:szCs w:val="20"/>
          <w:lang w:eastAsia="ru-RU"/>
        </w:rPr>
        <w:t xml:space="preserve">. наук; Е.И. Булгаков; Ж.М. </w:t>
      </w:r>
      <w:proofErr w:type="spellStart"/>
      <w:r w:rsidRPr="00126B02">
        <w:rPr>
          <w:rFonts w:ascii="Arial" w:eastAsia="Times New Roman" w:hAnsi="Arial" w:cs="Arial"/>
          <w:sz w:val="20"/>
          <w:szCs w:val="20"/>
          <w:lang w:eastAsia="ru-RU"/>
        </w:rPr>
        <w:t>Роева</w:t>
      </w:r>
      <w:proofErr w:type="spellEnd"/>
      <w:r w:rsidRPr="00126B02">
        <w:rPr>
          <w:rFonts w:ascii="Arial" w:eastAsia="Times New Roman" w:hAnsi="Arial" w:cs="Arial"/>
          <w:sz w:val="20"/>
          <w:szCs w:val="20"/>
          <w:lang w:eastAsia="ru-RU"/>
        </w:rPr>
        <w:t xml:space="preserve"> , канд. эконом. наук; В.И. Краснова , И.Е. </w:t>
      </w:r>
      <w:proofErr w:type="spellStart"/>
      <w:r w:rsidRPr="00126B02">
        <w:rPr>
          <w:rFonts w:ascii="Arial" w:eastAsia="Times New Roman" w:hAnsi="Arial" w:cs="Arial"/>
          <w:sz w:val="20"/>
          <w:szCs w:val="20"/>
          <w:lang w:eastAsia="ru-RU"/>
        </w:rPr>
        <w:t>Пацека</w:t>
      </w:r>
      <w:proofErr w:type="spellEnd"/>
      <w:r w:rsidRPr="00126B02">
        <w:rPr>
          <w:rFonts w:ascii="Arial" w:eastAsia="Times New Roman" w:hAnsi="Arial" w:cs="Arial"/>
          <w:sz w:val="20"/>
          <w:szCs w:val="20"/>
          <w:lang w:eastAsia="ru-RU"/>
        </w:rPr>
        <w:t xml:space="preserve"> , канд. </w:t>
      </w:r>
      <w:proofErr w:type="spellStart"/>
      <w:r w:rsidRPr="00126B02">
        <w:rPr>
          <w:rFonts w:ascii="Arial" w:eastAsia="Times New Roman" w:hAnsi="Arial" w:cs="Arial"/>
          <w:sz w:val="20"/>
          <w:szCs w:val="20"/>
          <w:lang w:eastAsia="ru-RU"/>
        </w:rPr>
        <w:t>техн</w:t>
      </w:r>
      <w:proofErr w:type="spellEnd"/>
      <w:r w:rsidRPr="00126B02">
        <w:rPr>
          <w:rFonts w:ascii="Arial" w:eastAsia="Times New Roman" w:hAnsi="Arial" w:cs="Arial"/>
          <w:sz w:val="20"/>
          <w:szCs w:val="20"/>
          <w:lang w:eastAsia="ru-RU"/>
        </w:rPr>
        <w:t>. наук.</w:t>
      </w:r>
    </w:p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sz w:val="20"/>
          <w:szCs w:val="20"/>
          <w:lang w:eastAsia="ru-RU"/>
        </w:rPr>
        <w:t>2. УТВЕРЖДЕН И ВВЕДЕН В ДЕЙСТВИЕ Постановлением Государственного комитета СССР по стандартам от 29.06.88 № 2518</w:t>
      </w:r>
    </w:p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3. Стандарт полностью соответствует </w:t>
      </w:r>
      <w:proofErr w:type="gramStart"/>
      <w:r w:rsidRPr="00126B0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</w:t>
      </w:r>
      <w:proofErr w:type="gramEnd"/>
      <w:r w:rsidRPr="00126B0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СЭВ 3899-82</w:t>
      </w:r>
    </w:p>
    <w:p w:rsidR="00126B02" w:rsidRPr="00126B02" w:rsidRDefault="00126B02" w:rsidP="00126B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B0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 Взамен ГОСТ 2591-71</w:t>
      </w:r>
    </w:p>
    <w:p w:rsidR="0005699C" w:rsidRPr="00126B02" w:rsidRDefault="0005699C" w:rsidP="00126B02">
      <w:pPr>
        <w:spacing w:after="0"/>
        <w:rPr>
          <w:rFonts w:ascii="Arial" w:hAnsi="Arial" w:cs="Arial"/>
          <w:sz w:val="20"/>
          <w:szCs w:val="20"/>
        </w:rPr>
      </w:pPr>
    </w:p>
    <w:sectPr w:rsidR="0005699C" w:rsidRPr="00126B02" w:rsidSect="0005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B02"/>
    <w:rsid w:val="0005699C"/>
    <w:rsid w:val="0012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9C"/>
  </w:style>
  <w:style w:type="paragraph" w:styleId="1">
    <w:name w:val="heading 1"/>
    <w:basedOn w:val="a"/>
    <w:link w:val="10"/>
    <w:uiPriority w:val="9"/>
    <w:qFormat/>
    <w:rsid w:val="00126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26B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6B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2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6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1000</Words>
  <Characters>5706</Characters>
  <Application>Microsoft Office Word</Application>
  <DocSecurity>0</DocSecurity>
  <Lines>47</Lines>
  <Paragraphs>13</Paragraphs>
  <ScaleCrop>false</ScaleCrop>
  <Company>Kontora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2010-11-02T06:25:00Z</dcterms:created>
  <dcterms:modified xsi:type="dcterms:W3CDTF">2010-11-02T06:27:00Z</dcterms:modified>
</cp:coreProperties>
</file>